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15FA" w14:textId="77777777" w:rsidR="003F11EB" w:rsidRDefault="003F11EB" w:rsidP="002C3E26">
      <w:pPr>
        <w:tabs>
          <w:tab w:val="right" w:pos="9638"/>
        </w:tabs>
      </w:pPr>
      <w:r>
        <w:rPr>
          <w:noProof/>
          <w:lang w:val="fr-FR" w:eastAsia="fr-FR"/>
        </w:rPr>
        <w:drawing>
          <wp:inline distT="0" distB="0" distL="0" distR="0" wp14:anchorId="4649F2A1" wp14:editId="1DEDD7E4">
            <wp:extent cx="3398520" cy="83275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iè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851" cy="84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C3E26">
        <w:tab/>
      </w:r>
      <w:r>
        <w:rPr>
          <w:noProof/>
          <w:lang w:val="fr-FR" w:eastAsia="fr-FR"/>
        </w:rPr>
        <w:drawing>
          <wp:inline distT="0" distB="0" distL="0" distR="0" wp14:anchorId="488011A8" wp14:editId="74322CF9">
            <wp:extent cx="2022938" cy="807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EM 72 h1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95" cy="83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CE24" w14:textId="77777777" w:rsidR="002C3E26" w:rsidRDefault="002C3E26" w:rsidP="003F11EB"/>
    <w:p w14:paraId="108EFF65" w14:textId="183E1C7F" w:rsidR="002B7CD6" w:rsidRPr="00325335" w:rsidRDefault="00B83EA7" w:rsidP="00325335">
      <w:pPr>
        <w:jc w:val="center"/>
        <w:rPr>
          <w:b/>
          <w:sz w:val="28"/>
          <w:szCs w:val="28"/>
        </w:rPr>
      </w:pPr>
      <w:r>
        <w:rPr>
          <w:b/>
          <w:color w:val="D45500"/>
          <w:sz w:val="28"/>
          <w:szCs w:val="28"/>
        </w:rPr>
        <w:t xml:space="preserve">SUDS-2 – </w:t>
      </w:r>
      <w:r w:rsidR="00BB2373">
        <w:rPr>
          <w:b/>
          <w:color w:val="D45500"/>
          <w:sz w:val="28"/>
          <w:szCs w:val="28"/>
        </w:rPr>
        <w:t xml:space="preserve">Mobilités quotidiennes </w:t>
      </w:r>
      <w:r w:rsidR="00D278AC">
        <w:rPr>
          <w:b/>
          <w:color w:val="D45500"/>
          <w:sz w:val="28"/>
          <w:szCs w:val="28"/>
        </w:rPr>
        <w:t xml:space="preserve">aux </w:t>
      </w:r>
      <w:r w:rsidR="009E5E29">
        <w:rPr>
          <w:b/>
          <w:color w:val="D45500"/>
          <w:sz w:val="28"/>
          <w:szCs w:val="28"/>
        </w:rPr>
        <w:t>Suds</w:t>
      </w:r>
      <w:r w:rsidR="00BB2373">
        <w:rPr>
          <w:b/>
          <w:color w:val="D45500"/>
          <w:sz w:val="28"/>
          <w:szCs w:val="28"/>
        </w:rPr>
        <w:t xml:space="preserve"> : production, </w:t>
      </w:r>
      <w:r w:rsidR="00D64BD7">
        <w:rPr>
          <w:b/>
          <w:color w:val="D45500"/>
          <w:sz w:val="28"/>
          <w:szCs w:val="28"/>
        </w:rPr>
        <w:t>pratiques</w:t>
      </w:r>
      <w:r w:rsidR="00BB2373">
        <w:rPr>
          <w:b/>
          <w:color w:val="D45500"/>
          <w:sz w:val="28"/>
          <w:szCs w:val="28"/>
        </w:rPr>
        <w:t>, gouvernance</w:t>
      </w:r>
    </w:p>
    <w:p w14:paraId="58E87BCA" w14:textId="77777777" w:rsidR="00325335" w:rsidRDefault="00325335" w:rsidP="003F11EB"/>
    <w:p w14:paraId="69E1D3C4" w14:textId="77777777" w:rsidR="002B7CD6" w:rsidRPr="00131729" w:rsidRDefault="002B7CD6" w:rsidP="003F11EB">
      <w:pPr>
        <w:rPr>
          <w:b/>
          <w:color w:val="D45500"/>
        </w:rPr>
      </w:pPr>
      <w:r w:rsidRPr="00131729">
        <w:rPr>
          <w:b/>
          <w:color w:val="D45500"/>
        </w:rPr>
        <w:t>Organisateurs :</w:t>
      </w:r>
    </w:p>
    <w:p w14:paraId="5EDD7B35" w14:textId="31E6E1B0" w:rsidR="003C641C" w:rsidRDefault="003C641C" w:rsidP="003C641C">
      <w:pPr>
        <w:spacing w:after="0"/>
      </w:pPr>
      <w:r>
        <w:t>Virginie B</w:t>
      </w:r>
      <w:r w:rsidR="00B83EA7">
        <w:t>OUTUEIL</w:t>
      </w:r>
      <w:r>
        <w:t>, LVMT, ENPC</w:t>
      </w:r>
      <w:r w:rsidR="00B83EA7">
        <w:t xml:space="preserve">, </w:t>
      </w:r>
      <w:r>
        <w:t xml:space="preserve"> Université Gustave Eiffel, </w:t>
      </w:r>
      <w:hyperlink r:id="rId7" w:history="1">
        <w:r w:rsidR="00B83EA7" w:rsidRPr="006C0A12">
          <w:rPr>
            <w:rStyle w:val="Lienhypertexte"/>
          </w:rPr>
          <w:t>virginie.boutueil@enpc.fr</w:t>
        </w:r>
      </w:hyperlink>
      <w:r w:rsidR="00B83EA7">
        <w:t xml:space="preserve"> </w:t>
      </w:r>
    </w:p>
    <w:p w14:paraId="1785E8D0" w14:textId="49B7736D" w:rsidR="00D9495F" w:rsidRDefault="00D9495F" w:rsidP="004A42C4">
      <w:pPr>
        <w:spacing w:after="0"/>
      </w:pPr>
      <w:r>
        <w:t>Ali</w:t>
      </w:r>
      <w:r w:rsidR="00B83EA7">
        <w:t xml:space="preserve"> EL ZEIN</w:t>
      </w:r>
      <w:r>
        <w:t>, LAET, ENTPE</w:t>
      </w:r>
      <w:r w:rsidR="00B83EA7">
        <w:t xml:space="preserve">, </w:t>
      </w:r>
      <w:r>
        <w:t xml:space="preserve"> Université Lyon 2</w:t>
      </w:r>
      <w:r w:rsidR="00B83EA7">
        <w:t xml:space="preserve">, </w:t>
      </w:r>
      <w:r>
        <w:t xml:space="preserve">CNRS, </w:t>
      </w:r>
      <w:hyperlink r:id="rId8" w:history="1">
        <w:r w:rsidR="00B83EA7" w:rsidRPr="006C0A12">
          <w:rPr>
            <w:rStyle w:val="Lienhypertexte"/>
          </w:rPr>
          <w:t>ali.elzein@entpe.fr</w:t>
        </w:r>
      </w:hyperlink>
      <w:r w:rsidR="00B83EA7">
        <w:t xml:space="preserve"> </w:t>
      </w:r>
    </w:p>
    <w:p w14:paraId="6E4BD4AE" w14:textId="4FEFE1C7" w:rsidR="003C641C" w:rsidRPr="00B83EA7" w:rsidRDefault="003C641C" w:rsidP="003C641C">
      <w:pPr>
        <w:spacing w:after="0"/>
      </w:pPr>
      <w:r w:rsidRPr="00B83EA7">
        <w:t>Manon E</w:t>
      </w:r>
      <w:r w:rsidR="00B83EA7" w:rsidRPr="00B83EA7">
        <w:t>SKENAZ</w:t>
      </w:r>
      <w:r w:rsidR="00B83EA7">
        <w:t>I</w:t>
      </w:r>
      <w:r w:rsidRPr="00B83EA7">
        <w:t>, LVMT, ENPC</w:t>
      </w:r>
      <w:r w:rsidR="00B83EA7">
        <w:t xml:space="preserve">, </w:t>
      </w:r>
      <w:r w:rsidRPr="00B83EA7">
        <w:t xml:space="preserve"> Université Gustave Eiffel, </w:t>
      </w:r>
      <w:hyperlink r:id="rId9" w:history="1">
        <w:r w:rsidR="00B83EA7" w:rsidRPr="006C0A12">
          <w:rPr>
            <w:rStyle w:val="Lienhypertexte"/>
          </w:rPr>
          <w:t>manon.eskenazi@enpc.fr</w:t>
        </w:r>
      </w:hyperlink>
      <w:r w:rsidR="00B83EA7">
        <w:t xml:space="preserve"> </w:t>
      </w:r>
    </w:p>
    <w:p w14:paraId="0741288A" w14:textId="2E0A19C8" w:rsidR="00D9495F" w:rsidRDefault="00D9495F" w:rsidP="004A42C4">
      <w:pPr>
        <w:spacing w:after="0"/>
      </w:pPr>
      <w:r>
        <w:t>Gaële L</w:t>
      </w:r>
      <w:r w:rsidR="00B83EA7">
        <w:t>ESTEVEN</w:t>
      </w:r>
      <w:r>
        <w:t>, LAET, ENTPE</w:t>
      </w:r>
      <w:r w:rsidR="00B83EA7">
        <w:t xml:space="preserve">, </w:t>
      </w:r>
      <w:r>
        <w:t xml:space="preserve"> Université Lyon 2</w:t>
      </w:r>
      <w:r w:rsidR="00B83EA7">
        <w:t xml:space="preserve">, </w:t>
      </w:r>
      <w:r>
        <w:t xml:space="preserve"> CNRS, </w:t>
      </w:r>
      <w:hyperlink r:id="rId10" w:history="1">
        <w:r w:rsidR="00B83EA7" w:rsidRPr="006C0A12">
          <w:rPr>
            <w:rStyle w:val="Lienhypertexte"/>
          </w:rPr>
          <w:t>gaele.lesteven@entpe.fr</w:t>
        </w:r>
      </w:hyperlink>
      <w:r w:rsidR="00B83EA7">
        <w:t xml:space="preserve"> </w:t>
      </w:r>
    </w:p>
    <w:p w14:paraId="69BCF9B7" w14:textId="04D8C5BA" w:rsidR="00D9495F" w:rsidRDefault="00D9495F" w:rsidP="004A42C4">
      <w:pPr>
        <w:spacing w:after="0"/>
      </w:pPr>
      <w:r>
        <w:t>Pascal P</w:t>
      </w:r>
      <w:r w:rsidR="00B83EA7">
        <w:t>OCHET</w:t>
      </w:r>
      <w:r>
        <w:t>, LAET, ENTPE</w:t>
      </w:r>
      <w:r w:rsidR="00B83EA7">
        <w:t xml:space="preserve">, </w:t>
      </w:r>
      <w:r>
        <w:t xml:space="preserve"> Université Lyon 2</w:t>
      </w:r>
      <w:r w:rsidR="00B83EA7">
        <w:t xml:space="preserve">, </w:t>
      </w:r>
      <w:r>
        <w:t xml:space="preserve">CNRS, </w:t>
      </w:r>
      <w:hyperlink r:id="rId11" w:history="1">
        <w:r w:rsidR="00B83EA7" w:rsidRPr="006C0A12">
          <w:rPr>
            <w:rStyle w:val="Lienhypertexte"/>
          </w:rPr>
          <w:t>pascal.pochet@entpe.fr</w:t>
        </w:r>
      </w:hyperlink>
      <w:r w:rsidR="00B83EA7">
        <w:t xml:space="preserve"> </w:t>
      </w:r>
    </w:p>
    <w:p w14:paraId="1E0B073F" w14:textId="77777777" w:rsidR="00D9495F" w:rsidRPr="00BB2373" w:rsidRDefault="00D9495F" w:rsidP="003F11EB">
      <w:pPr>
        <w:rPr>
          <w:b/>
          <w:color w:val="D45500"/>
        </w:rPr>
      </w:pPr>
    </w:p>
    <w:p w14:paraId="2821AB65" w14:textId="77777777" w:rsidR="002B7CD6" w:rsidRPr="00131729" w:rsidRDefault="002B7CD6" w:rsidP="003F11EB">
      <w:pPr>
        <w:rPr>
          <w:b/>
          <w:color w:val="D45500"/>
        </w:rPr>
      </w:pPr>
      <w:r w:rsidRPr="00131729">
        <w:rPr>
          <w:b/>
          <w:color w:val="D45500"/>
        </w:rPr>
        <w:t>Mots-clés :</w:t>
      </w:r>
    </w:p>
    <w:p w14:paraId="2EB8FB50" w14:textId="1DF91D0A" w:rsidR="002B7CD6" w:rsidRDefault="009E5E29" w:rsidP="003F11EB">
      <w:r>
        <w:t>M</w:t>
      </w:r>
      <w:r w:rsidRPr="009E5E29">
        <w:t xml:space="preserve">obilité quotidienne, politique de transport, </w:t>
      </w:r>
      <w:r w:rsidR="00234224">
        <w:t>gouvernance</w:t>
      </w:r>
      <w:r w:rsidRPr="009E5E29">
        <w:t>, villes des Suds.</w:t>
      </w:r>
    </w:p>
    <w:p w14:paraId="098DF9B1" w14:textId="77777777" w:rsidR="00AC46F5" w:rsidRDefault="00AC46F5" w:rsidP="003F11EB"/>
    <w:p w14:paraId="110142B6" w14:textId="26042682" w:rsidR="00D278AC" w:rsidRDefault="003E5625" w:rsidP="004A42C4">
      <w:pPr>
        <w:spacing w:after="0"/>
      </w:pPr>
      <w:r w:rsidRPr="00131729">
        <w:rPr>
          <w:b/>
          <w:color w:val="D45500"/>
        </w:rPr>
        <w:t>Texte de votre appel :</w:t>
      </w:r>
    </w:p>
    <w:p w14:paraId="26537E09" w14:textId="4371DCBC" w:rsidR="000C46D6" w:rsidRDefault="00234224" w:rsidP="007B0E7B">
      <w:pPr>
        <w:jc w:val="both"/>
      </w:pPr>
      <w:r>
        <w:t>L</w:t>
      </w:r>
      <w:r w:rsidR="00263F14">
        <w:t xml:space="preserve">a population vivant dans les villes des Suds devrait croître de 2,5 milliards d’habitants d’ici 2050. Si les dynamiques démographiques et urbaines </w:t>
      </w:r>
      <w:r w:rsidR="004B0E8C">
        <w:t xml:space="preserve">y </w:t>
      </w:r>
      <w:r w:rsidR="00263F14">
        <w:t xml:space="preserve">sont contrastées, elles présentent néanmoins certains </w:t>
      </w:r>
      <w:r w:rsidR="004B0E8C">
        <w:t>traits</w:t>
      </w:r>
      <w:r w:rsidR="00263F14">
        <w:t xml:space="preserve"> communs, parmi lesquels le caractère extrêmement rapide des évolutions observées. Dans le domaine de la mobilité, </w:t>
      </w:r>
      <w:r w:rsidR="00DD7546">
        <w:t xml:space="preserve">les villes des Suds révèlent </w:t>
      </w:r>
      <w:r w:rsidR="00767DED">
        <w:t xml:space="preserve">également </w:t>
      </w:r>
      <w:r w:rsidR="00DD7546">
        <w:t>d</w:t>
      </w:r>
      <w:r w:rsidR="00767DED">
        <w:t xml:space="preserve">es </w:t>
      </w:r>
      <w:r w:rsidR="00470F36">
        <w:t xml:space="preserve">spécificités, </w:t>
      </w:r>
      <w:r w:rsidR="003D7974">
        <w:t xml:space="preserve">telles que </w:t>
      </w:r>
      <w:r w:rsidR="00767DED">
        <w:t xml:space="preserve">la part </w:t>
      </w:r>
      <w:r w:rsidR="005D37F5">
        <w:t xml:space="preserve">importante </w:t>
      </w:r>
      <w:r w:rsidR="00470F36">
        <w:t xml:space="preserve">de la mobilité quotidienne revenant </w:t>
      </w:r>
      <w:r w:rsidR="00767DED">
        <w:t xml:space="preserve">à </w:t>
      </w:r>
      <w:r w:rsidR="00470F36">
        <w:t xml:space="preserve">la marche, </w:t>
      </w:r>
      <w:r w:rsidR="00397734">
        <w:t xml:space="preserve">aux </w:t>
      </w:r>
      <w:r w:rsidR="00470F36">
        <w:t>deux-roues motorisé</w:t>
      </w:r>
      <w:r w:rsidR="00397734">
        <w:t xml:space="preserve">s </w:t>
      </w:r>
      <w:r w:rsidR="008725B9">
        <w:t>(</w:t>
      </w:r>
      <w:r w:rsidR="00397734">
        <w:t>motos-taxis ou motos personnelles</w:t>
      </w:r>
      <w:r w:rsidR="008725B9">
        <w:t>)</w:t>
      </w:r>
      <w:r w:rsidR="00470F36">
        <w:t>, ou</w:t>
      </w:r>
      <w:r w:rsidR="00397734">
        <w:t xml:space="preserve"> aux</w:t>
      </w:r>
      <w:r w:rsidR="00470F36">
        <w:t xml:space="preserve"> modes intermédiaires (taxis et taxis partagés, formels ou informels, </w:t>
      </w:r>
      <w:r w:rsidR="00627DB9">
        <w:t>revêtant</w:t>
      </w:r>
      <w:r w:rsidR="00470F36">
        <w:t xml:space="preserve"> des formes servicielles et </w:t>
      </w:r>
      <w:r w:rsidR="00627DB9">
        <w:t xml:space="preserve">utilisant des </w:t>
      </w:r>
      <w:r w:rsidR="00470F36">
        <w:t xml:space="preserve">véhicules très variés). Les transformations </w:t>
      </w:r>
      <w:r w:rsidR="004B0E8C">
        <w:t>à l’</w:t>
      </w:r>
      <w:r w:rsidR="00D92B83">
        <w:t>œuvre</w:t>
      </w:r>
      <w:r w:rsidR="00470F36">
        <w:t xml:space="preserve">, </w:t>
      </w:r>
      <w:r w:rsidR="00627DB9">
        <w:t xml:space="preserve">par exemple </w:t>
      </w:r>
      <w:r w:rsidR="00F7301E">
        <w:t xml:space="preserve">à l’occasion de la mise en </w:t>
      </w:r>
      <w:r w:rsidR="0036412B">
        <w:t>circulation</w:t>
      </w:r>
      <w:r w:rsidR="00F7301E">
        <w:t xml:space="preserve"> de </w:t>
      </w:r>
      <w:r w:rsidR="004A42C4">
        <w:t>lignes de BRT</w:t>
      </w:r>
      <w:r w:rsidR="00F7301E">
        <w:t xml:space="preserve"> ou </w:t>
      </w:r>
      <w:r w:rsidR="00470F36">
        <w:t>sous l’influence</w:t>
      </w:r>
      <w:r w:rsidR="00F7301E">
        <w:t xml:space="preserve"> du déploiement</w:t>
      </w:r>
      <w:r w:rsidR="00593266">
        <w:t xml:space="preserve"> du numérique</w:t>
      </w:r>
      <w:r w:rsidR="00470F36">
        <w:t xml:space="preserve"> ou d’autres </w:t>
      </w:r>
      <w:r w:rsidR="00F7301E">
        <w:t>innovations</w:t>
      </w:r>
      <w:r w:rsidR="00470F36">
        <w:t xml:space="preserve"> technologiques,</w:t>
      </w:r>
      <w:r w:rsidR="005D37F5">
        <w:t xml:space="preserve"> servicielles,</w:t>
      </w:r>
      <w:r w:rsidR="00470F36">
        <w:t xml:space="preserve"> organisationnelles ou de gouvernance, </w:t>
      </w:r>
      <w:r w:rsidR="00627DB9">
        <w:t>dessinent</w:t>
      </w:r>
      <w:r w:rsidR="00470F36">
        <w:t xml:space="preserve"> également des trajectoires spécifiques</w:t>
      </w:r>
      <w:r w:rsidR="005D37F5">
        <w:t xml:space="preserve"> et plurielles</w:t>
      </w:r>
      <w:r w:rsidR="00470F36">
        <w:t>.</w:t>
      </w:r>
      <w:r w:rsidR="00E91988">
        <w:t xml:space="preserve"> </w:t>
      </w:r>
      <w:r w:rsidR="005D37F5">
        <w:t xml:space="preserve">Ces </w:t>
      </w:r>
      <w:r w:rsidR="003C641C">
        <w:t xml:space="preserve">spécificités et ces </w:t>
      </w:r>
      <w:r w:rsidR="005D37F5">
        <w:t>évolutions</w:t>
      </w:r>
      <w:r w:rsidR="004A42C4">
        <w:t xml:space="preserve"> multiples</w:t>
      </w:r>
      <w:r w:rsidR="005D37F5">
        <w:t xml:space="preserve"> appellent à </w:t>
      </w:r>
      <w:r w:rsidR="000C46D6">
        <w:t xml:space="preserve">renforcer et diversifier les productions scientifiques relatives à </w:t>
      </w:r>
      <w:r w:rsidR="004A42C4">
        <w:t>la mobilité dans les villes des Suds</w:t>
      </w:r>
      <w:r w:rsidR="000C46D6">
        <w:t>.</w:t>
      </w:r>
    </w:p>
    <w:p w14:paraId="50681834" w14:textId="635A4474" w:rsidR="009E5E29" w:rsidRDefault="00BB2373" w:rsidP="007B0E7B">
      <w:pPr>
        <w:jc w:val="both"/>
      </w:pPr>
      <w:r>
        <w:t xml:space="preserve">Cette session </w:t>
      </w:r>
      <w:r w:rsidR="002C78F1">
        <w:t xml:space="preserve">s’inscrit </w:t>
      </w:r>
      <w:r>
        <w:t xml:space="preserve">dans la continuité des sessions des </w:t>
      </w:r>
      <w:r w:rsidR="00947E68">
        <w:t xml:space="preserve">cinq </w:t>
      </w:r>
      <w:r>
        <w:t>précédentes RFTM</w:t>
      </w:r>
      <w:r w:rsidR="00593266">
        <w:t xml:space="preserve"> consacrées aux transports et à la mobilité dans les villes des Suds</w:t>
      </w:r>
      <w:r>
        <w:t>.</w:t>
      </w:r>
      <w:r w:rsidR="00627DB9">
        <w:t xml:space="preserve"> Elle propose </w:t>
      </w:r>
      <w:r w:rsidR="003175CE">
        <w:t xml:space="preserve">cette année </w:t>
      </w:r>
      <w:r w:rsidR="00627DB9">
        <w:t xml:space="preserve">d’interroger </w:t>
      </w:r>
      <w:r w:rsidR="000C46D6">
        <w:t>l</w:t>
      </w:r>
      <w:r w:rsidR="00C216A0">
        <w:t>es</w:t>
      </w:r>
      <w:r w:rsidR="00627DB9">
        <w:t xml:space="preserve"> mobilité</w:t>
      </w:r>
      <w:r w:rsidR="00C216A0">
        <w:t>s</w:t>
      </w:r>
      <w:r w:rsidR="00627DB9">
        <w:t xml:space="preserve"> des villes des Suds</w:t>
      </w:r>
      <w:r w:rsidR="000C46D6">
        <w:t xml:space="preserve"> à partir de trois approches :</w:t>
      </w:r>
      <w:r w:rsidR="00627DB9">
        <w:t xml:space="preserve"> sous l’angle des modes de production des mobilités d’une part (pratiques </w:t>
      </w:r>
      <w:r w:rsidR="00F94650">
        <w:t xml:space="preserve">et itinéraires </w:t>
      </w:r>
      <w:r w:rsidR="00627DB9">
        <w:t>professionnels</w:t>
      </w:r>
      <w:r w:rsidR="00F94650">
        <w:t xml:space="preserve"> dans le milieu d</w:t>
      </w:r>
      <w:r w:rsidR="00D92B83">
        <w:t>u</w:t>
      </w:r>
      <w:r w:rsidR="00F94650">
        <w:t xml:space="preserve"> transport</w:t>
      </w:r>
      <w:r w:rsidR="00627DB9">
        <w:t>, organisations et réorganisations, structuration d’un milieu professionnel</w:t>
      </w:r>
      <w:r w:rsidR="00D83F00">
        <w:t>, etc.</w:t>
      </w:r>
      <w:r w:rsidR="00627DB9">
        <w:t xml:space="preserve">), des </w:t>
      </w:r>
      <w:r w:rsidR="004B0E8C">
        <w:t>pratiques</w:t>
      </w:r>
      <w:r w:rsidR="003C641C">
        <w:t xml:space="preserve"> de mobilité</w:t>
      </w:r>
      <w:r w:rsidR="004B0E8C">
        <w:t xml:space="preserve"> </w:t>
      </w:r>
      <w:r w:rsidR="00627DB9">
        <w:t>d’autre part (</w:t>
      </w:r>
      <w:r w:rsidR="000C46D6">
        <w:t xml:space="preserve">usage des </w:t>
      </w:r>
      <w:r w:rsidR="007A14D0">
        <w:t>mobilités numériques</w:t>
      </w:r>
      <w:r w:rsidR="000C46D6">
        <w:t xml:space="preserve">, des mobilités actives, des services de transport capacitaires, </w:t>
      </w:r>
      <w:r w:rsidR="003C641C">
        <w:t>inégal</w:t>
      </w:r>
      <w:r w:rsidR="00454C96">
        <w:t>ités</w:t>
      </w:r>
      <w:r w:rsidR="003C641C">
        <w:t xml:space="preserve"> </w:t>
      </w:r>
      <w:r w:rsidR="00454C96">
        <w:t>d’</w:t>
      </w:r>
      <w:r w:rsidR="003C641C">
        <w:t>accès aux modes</w:t>
      </w:r>
      <w:r w:rsidR="00D64BD7">
        <w:t xml:space="preserve"> de transport</w:t>
      </w:r>
      <w:r w:rsidR="003C641C">
        <w:t xml:space="preserve"> et à la ville, </w:t>
      </w:r>
      <w:r w:rsidR="000C46D6">
        <w:t>etc.</w:t>
      </w:r>
      <w:r w:rsidR="00627DB9">
        <w:t xml:space="preserve">), </w:t>
      </w:r>
      <w:r w:rsidR="004B0E8C">
        <w:t>et</w:t>
      </w:r>
      <w:r w:rsidR="00627DB9">
        <w:t xml:space="preserve"> de la gouvernance des mobilités enfin (</w:t>
      </w:r>
      <w:r w:rsidR="00D83F00">
        <w:t xml:space="preserve">stratégies </w:t>
      </w:r>
      <w:r w:rsidR="00627DB9">
        <w:t>d’acteurs</w:t>
      </w:r>
      <w:r w:rsidR="00407C10">
        <w:t xml:space="preserve">, </w:t>
      </w:r>
      <w:r w:rsidR="003C641C">
        <w:t>relations entre acteurs</w:t>
      </w:r>
      <w:r w:rsidR="00407C10">
        <w:t xml:space="preserve"> publics et privés</w:t>
      </w:r>
      <w:r w:rsidR="00627DB9">
        <w:t xml:space="preserve">, </w:t>
      </w:r>
      <w:r w:rsidR="00D83F00">
        <w:t>ressources d’action, mobilisations, etc.)</w:t>
      </w:r>
      <w:r w:rsidR="00627DB9">
        <w:t>.</w:t>
      </w:r>
    </w:p>
    <w:p w14:paraId="5045D248" w14:textId="0098888C" w:rsidR="007668E7" w:rsidRDefault="00BB2373" w:rsidP="007B0E7B">
      <w:pPr>
        <w:jc w:val="both"/>
      </w:pPr>
      <w:r>
        <w:t xml:space="preserve">L’appel est ouvert aux propositions de nature monographique ou comparative, quantitatives </w:t>
      </w:r>
      <w:r w:rsidR="003C641C">
        <w:t xml:space="preserve">comme </w:t>
      </w:r>
      <w:r>
        <w:t>qualitativ</w:t>
      </w:r>
      <w:r w:rsidR="00627DB9">
        <w:t>es, aux revues de littérature,</w:t>
      </w:r>
      <w:r>
        <w:t xml:space="preserve"> aux contributions théoriques</w:t>
      </w:r>
      <w:r w:rsidR="00C343B6">
        <w:t xml:space="preserve"> et </w:t>
      </w:r>
      <w:r w:rsidR="00627DB9">
        <w:t xml:space="preserve">aux </w:t>
      </w:r>
      <w:r w:rsidR="00C343B6">
        <w:t>approches critiques</w:t>
      </w:r>
      <w:r w:rsidR="00AF1A89">
        <w:t>.</w:t>
      </w:r>
      <w:r w:rsidR="00461641">
        <w:t xml:space="preserve"> Des contributions </w:t>
      </w:r>
      <w:r w:rsidR="007668E7">
        <w:t xml:space="preserve">sont attendues non seulement sur les grandes métropoles, mais aussi sur les villes moyennes et petites, et sur les liens entre les villes et leurs arrière-pays. </w:t>
      </w:r>
      <w:r w:rsidR="00761E6E">
        <w:t>D</w:t>
      </w:r>
      <w:r w:rsidR="003C641C">
        <w:t xml:space="preserve">es propositions abordant les questions de genre et les autres enjeux sociaux en lien avec la production, les </w:t>
      </w:r>
      <w:r w:rsidR="007B0E7B">
        <w:t>pratiques</w:t>
      </w:r>
      <w:r w:rsidR="003C641C">
        <w:t xml:space="preserve"> ou la gouvernance des mobilités</w:t>
      </w:r>
      <w:r w:rsidR="00761E6E">
        <w:t xml:space="preserve"> sont les bienvenues</w:t>
      </w:r>
      <w:r w:rsidR="003C641C">
        <w:t>.</w:t>
      </w:r>
      <w:r w:rsidR="00D64BD7">
        <w:t xml:space="preserve"> Enfin, </w:t>
      </w:r>
      <w:r w:rsidR="00761E6E">
        <w:t>l’</w:t>
      </w:r>
      <w:r w:rsidR="00627DB9">
        <w:t xml:space="preserve">appel encourage </w:t>
      </w:r>
      <w:r w:rsidR="00D64BD7">
        <w:t>également</w:t>
      </w:r>
      <w:r w:rsidR="00627DB9">
        <w:t xml:space="preserve"> l</w:t>
      </w:r>
      <w:r w:rsidR="007668E7">
        <w:t xml:space="preserve">es propositions </w:t>
      </w:r>
      <w:r w:rsidR="00627DB9">
        <w:t xml:space="preserve">portant </w:t>
      </w:r>
      <w:r w:rsidR="007668E7">
        <w:t xml:space="preserve">sur les </w:t>
      </w:r>
      <w:r w:rsidR="00627DB9">
        <w:t>objets</w:t>
      </w:r>
      <w:r w:rsidR="007668E7">
        <w:t xml:space="preserve"> </w:t>
      </w:r>
      <w:r w:rsidR="00627DB9">
        <w:t>suivant</w:t>
      </w:r>
      <w:r w:rsidR="007668E7">
        <w:t>s :</w:t>
      </w:r>
    </w:p>
    <w:p w14:paraId="32E5898D" w14:textId="76BB210C" w:rsidR="007668E7" w:rsidRDefault="00627DB9" w:rsidP="007668E7">
      <w:pPr>
        <w:pStyle w:val="Paragraphedeliste"/>
        <w:numPr>
          <w:ilvl w:val="0"/>
          <w:numId w:val="1"/>
        </w:numPr>
      </w:pPr>
      <w:r>
        <w:t>Marche et vélo</w:t>
      </w:r>
      <w:r w:rsidR="007B0E7B">
        <w:t>,</w:t>
      </w:r>
      <w:r>
        <w:t> </w:t>
      </w:r>
      <w:r w:rsidR="007668E7">
        <w:t xml:space="preserve"> </w:t>
      </w:r>
    </w:p>
    <w:p w14:paraId="2826AC1D" w14:textId="03EFC06D" w:rsidR="00627DB9" w:rsidRDefault="00627DB9" w:rsidP="007668E7">
      <w:pPr>
        <w:pStyle w:val="Paragraphedeliste"/>
        <w:numPr>
          <w:ilvl w:val="0"/>
          <w:numId w:val="1"/>
        </w:numPr>
      </w:pPr>
      <w:r>
        <w:t>Nouveaux véhicules</w:t>
      </w:r>
      <w:r w:rsidR="007B0E7B">
        <w:t>,</w:t>
      </w:r>
    </w:p>
    <w:p w14:paraId="35636B40" w14:textId="1FB5C661" w:rsidR="00627DB9" w:rsidRDefault="00627DB9" w:rsidP="007668E7">
      <w:pPr>
        <w:pStyle w:val="Paragraphedeliste"/>
        <w:numPr>
          <w:ilvl w:val="0"/>
          <w:numId w:val="1"/>
        </w:numPr>
      </w:pPr>
      <w:r>
        <w:t>Nouvelles énergies</w:t>
      </w:r>
      <w:r w:rsidR="007B0E7B">
        <w:t>,</w:t>
      </w:r>
    </w:p>
    <w:p w14:paraId="5A2207F5" w14:textId="1B88343C" w:rsidR="00627DB9" w:rsidRDefault="00627DB9" w:rsidP="007668E7">
      <w:pPr>
        <w:pStyle w:val="Paragraphedeliste"/>
        <w:numPr>
          <w:ilvl w:val="0"/>
          <w:numId w:val="1"/>
        </w:numPr>
      </w:pPr>
      <w:r>
        <w:t>Nouveaux systèmes d’information, de billettique et de paiement</w:t>
      </w:r>
      <w:r w:rsidR="007B0E7B">
        <w:t>,</w:t>
      </w:r>
    </w:p>
    <w:p w14:paraId="5E68882C" w14:textId="26407112" w:rsidR="002C78F1" w:rsidRDefault="00627DB9" w:rsidP="00920C65">
      <w:pPr>
        <w:pStyle w:val="Paragraphedeliste"/>
        <w:numPr>
          <w:ilvl w:val="0"/>
          <w:numId w:val="1"/>
        </w:numPr>
      </w:pPr>
      <w:r>
        <w:t>Formes hybrides de transport de marchandises et de personnes</w:t>
      </w:r>
      <w:r w:rsidR="003175CE">
        <w:t>.</w:t>
      </w:r>
    </w:p>
    <w:sectPr w:rsidR="002C78F1" w:rsidSect="00EF7EC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7F09"/>
    <w:multiLevelType w:val="hybridMultilevel"/>
    <w:tmpl w:val="B8427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8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EB"/>
    <w:rsid w:val="000634EB"/>
    <w:rsid w:val="000C46D6"/>
    <w:rsid w:val="00131729"/>
    <w:rsid w:val="001A04AC"/>
    <w:rsid w:val="001A0E26"/>
    <w:rsid w:val="00234224"/>
    <w:rsid w:val="002608A3"/>
    <w:rsid w:val="00263F14"/>
    <w:rsid w:val="002B7CD6"/>
    <w:rsid w:val="002C3E26"/>
    <w:rsid w:val="002C78F1"/>
    <w:rsid w:val="003175CE"/>
    <w:rsid w:val="00325335"/>
    <w:rsid w:val="003477E8"/>
    <w:rsid w:val="003564DD"/>
    <w:rsid w:val="0036412B"/>
    <w:rsid w:val="00377CAD"/>
    <w:rsid w:val="00395F50"/>
    <w:rsid w:val="00397734"/>
    <w:rsid w:val="003B79B9"/>
    <w:rsid w:val="003C641C"/>
    <w:rsid w:val="003D7974"/>
    <w:rsid w:val="003E5625"/>
    <w:rsid w:val="003F11EB"/>
    <w:rsid w:val="00407C10"/>
    <w:rsid w:val="00454C96"/>
    <w:rsid w:val="00461641"/>
    <w:rsid w:val="00470F36"/>
    <w:rsid w:val="004A42C4"/>
    <w:rsid w:val="004B08F6"/>
    <w:rsid w:val="004B0E8C"/>
    <w:rsid w:val="005331C1"/>
    <w:rsid w:val="00593266"/>
    <w:rsid w:val="005C6C0C"/>
    <w:rsid w:val="005D37F5"/>
    <w:rsid w:val="005F0836"/>
    <w:rsid w:val="00627DB9"/>
    <w:rsid w:val="006A0807"/>
    <w:rsid w:val="006A7155"/>
    <w:rsid w:val="00761E6E"/>
    <w:rsid w:val="007668E7"/>
    <w:rsid w:val="00767DED"/>
    <w:rsid w:val="007A14D0"/>
    <w:rsid w:val="007A20CE"/>
    <w:rsid w:val="007B0E7B"/>
    <w:rsid w:val="007B3C0D"/>
    <w:rsid w:val="007B6E18"/>
    <w:rsid w:val="008453DE"/>
    <w:rsid w:val="008725B9"/>
    <w:rsid w:val="00920C65"/>
    <w:rsid w:val="00931A59"/>
    <w:rsid w:val="00947E68"/>
    <w:rsid w:val="009A32C6"/>
    <w:rsid w:val="009E5E29"/>
    <w:rsid w:val="00A701B3"/>
    <w:rsid w:val="00A84BCC"/>
    <w:rsid w:val="00AA3C76"/>
    <w:rsid w:val="00AC46F5"/>
    <w:rsid w:val="00AF1A89"/>
    <w:rsid w:val="00B63606"/>
    <w:rsid w:val="00B83EA7"/>
    <w:rsid w:val="00BB2373"/>
    <w:rsid w:val="00C216A0"/>
    <w:rsid w:val="00C343B6"/>
    <w:rsid w:val="00CB50A3"/>
    <w:rsid w:val="00CC0346"/>
    <w:rsid w:val="00D278AC"/>
    <w:rsid w:val="00D64BD7"/>
    <w:rsid w:val="00D83F00"/>
    <w:rsid w:val="00D847B3"/>
    <w:rsid w:val="00D92B83"/>
    <w:rsid w:val="00D9495F"/>
    <w:rsid w:val="00DD7546"/>
    <w:rsid w:val="00DF682A"/>
    <w:rsid w:val="00E40DB5"/>
    <w:rsid w:val="00E62D85"/>
    <w:rsid w:val="00E91988"/>
    <w:rsid w:val="00EF7EC0"/>
    <w:rsid w:val="00F72F27"/>
    <w:rsid w:val="00F7301E"/>
    <w:rsid w:val="00F94650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EEAC"/>
  <w15:chartTrackingRefBased/>
  <w15:docId w15:val="{1FDB8559-2CE5-40AE-A411-9BB74627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3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715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715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949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49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49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9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9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9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668E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8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elzein@entp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rginie.boutueil@enpc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scal.pochet@entpe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aele.lesteven@entp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on.eskenazi@enp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NADOU Fabien</cp:lastModifiedBy>
  <cp:revision>2</cp:revision>
  <dcterms:created xsi:type="dcterms:W3CDTF">2023-12-07T17:46:00Z</dcterms:created>
  <dcterms:modified xsi:type="dcterms:W3CDTF">2023-12-07T17:46:00Z</dcterms:modified>
</cp:coreProperties>
</file>